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18"/>
        </w:rPr>
        <w:t>TRAFFIC INDUSTRIES</w:t>
      </w:r>
    </w:p>
    <w:p>
      <w:pPr>
        <w:pStyle w:val="Title"/>
      </w:pPr>
      <w:r>
        <w:t>Wheel stops</w:t>
      </w:r>
    </w:p>
    <w:p>
      <w:r>
        <w:rPr>
          <w:b/>
          <w:color w:val="666666"/>
          <w:sz w:val="18"/>
        </w:rPr>
        <w:t>SPECIFICATION TEXT (draft)</w:t>
      </w:r>
    </w:p>
    <w:p>
      <w:pPr>
        <w:pStyle w:val="Heading1"/>
      </w:pPr>
      <w:r>
        <w:t>1. Subject and scope</w:t>
      </w:r>
    </w:p>
    <w:p>
      <w:r>
        <w:t>This specification covers the supply of wheel stops. The function and place of use follow the definition below:</w:t>
      </w:r>
    </w:p>
    <w:p>
      <w:r>
        <w:t>The wheel stop goes down at the end of the bay to settle where the vehicle halts without arguing with the driver. The rubber body takes the blow by compressing and holds its shape; the wheel stop halts the tyre before the bumper reaches the wall. It is durable, reflective-striped and dowel-fixed. The yellow reflective strip marks the spot on a dim level. The wheel stop is used in covered and open car parks, at charging points and in front of loading doors.</w:t>
      </w:r>
    </w:p>
    <w:p>
      <w:pPr>
        <w:pStyle w:val="Heading1"/>
      </w:pPr>
      <w:r>
        <w:t>2. Features</w:t>
      </w:r>
    </w:p>
    <w:p>
      <w:r>
        <w:t>The rubber body stops the vehicle without damaging the tyre or wheel trim.</w:t>
      </w:r>
    </w:p>
    <w:p>
      <w:r>
        <w:t>Yellow reflective strips keep it visible in a covered car park and outdoors at night.</w:t>
      </w:r>
    </w:p>
    <w:p>
      <w:r>
        <w:t>Countersunk fixing holes sit below the surface, so no bolt head touches a tyre.</w:t>
      </w:r>
    </w:p>
    <w:p>
      <w:r>
        <w:t>Modular — sections butt together to suit a longer bay.</w:t>
      </w:r>
    </w:p>
    <w:p>
      <w:pPr>
        <w:pStyle w:val="Heading1"/>
      </w:pPr>
      <w:r>
        <w:t>3. Dimensions and classes</w:t>
      </w:r>
    </w:p>
    <w:p>
      <w:r>
        <w:t>Body / size: 8.5 · 10 · 50 · 55 · 110 · 180 cm</w:t>
      </w:r>
    </w:p>
    <w:p>
      <w:r>
        <w:t>Rubber market classes: 1650 · 1830 · 1860 × 150 × 100 mm · wheel type 600×120×100 mm</w:t>
      </w:r>
    </w:p>
    <w:p>
      <w:r>
        <w:t>Material: NR/SBR rubber · Polypropylene · PVC</w:t>
      </w:r>
    </w:p>
    <w:p>
      <w:r>
        <w:t>Weight: 1.9–19 kg (by type and length)</w:t>
      </w:r>
    </w:p>
    <w:p>
      <w:r>
        <w:t>Mounting: Ø10×110 mm coach screw + plug</w:t>
      </w:r>
    </w:p>
    <w:p>
      <w:r>
        <w:t>Model identity: A wheel stop model is defined by the three axes length × width × height, the material, the mass, the hole count/pattern and the delivery kit; a length list alone does not identify a model</w:t>
      </w:r>
    </w:p>
    <w:p>
      <w:r>
        <w:t>Note: values are production-programme and market-standard ranges; order dimensions are fixed in the quotation.</w:t>
      </w:r>
    </w:p>
    <w:p>
      <w:pPr>
        <w:pStyle w:val="Heading1"/>
      </w:pPr>
      <w:r>
        <w:t>4. Documentation</w:t>
      </w:r>
    </w:p>
    <w:p>
      <w:r>
        <w:t>Manufactured to the order specification in the Turkish market. The Australian market speaks of wheel stops through the parking design standard AS/NZS 2890.1; conformity is written with the supplier document. Test results and certificates are shared with the report and the document.</w:t>
      </w:r>
    </w:p>
    <w:p>
      <w:r>
        <w:t>Test results and certificates are shared only with the report and the document; no class name is cited without its document.</w:t>
      </w:r>
    </w:p>
    <w:p>
      <w:pPr>
        <w:pStyle w:val="Heading1"/>
      </w:pPr>
      <w:r>
        <w:t>5. Packing and delivery</w:t>
      </w:r>
    </w:p>
    <w:p>
      <w:r>
        <w:t>Pallets are built at 109 × 135 × 115 cm · The anchor set travels with the product · For rubber types the container is limited by weight · Long types get a pallet plan rebuilt around the size</w:t>
      </w:r>
    </w:p>
    <w:p>
      <w:pPr>
        <w:pStyle w:val="Heading1"/>
      </w:pPr>
      <w:r>
        <w:t>6. Quotation and contact</w:t>
      </w:r>
    </w:p>
    <w:p>
      <w:r>
        <w:t>Quotation requests go through trafficindustries.com; the quotation is prepared the same day against quantity, variant and delivery terms.</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