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Park stoperi</w:t>
      </w:r>
    </w:p>
    <w:p>
      <w:r>
        <w:rPr>
          <w:b/>
          <w:color w:val="666666"/>
          <w:sz w:val="18"/>
        </w:rPr>
        <w:t>ŞARTNAME METNİ (taslak)</w:t>
      </w:r>
    </w:p>
    <w:p>
      <w:pPr>
        <w:pStyle w:val="Heading1"/>
      </w:pPr>
      <w:r>
        <w:t>1. Konu ve kapsam</w:t>
      </w:r>
    </w:p>
    <w:p>
      <w:r>
        <w:t>Bu şartname, park stoperi teminini kapsar. Ürünün işlevi ve kullanım yeri aşağıdaki tanıma uyar:</w:t>
      </w:r>
    </w:p>
    <w:p>
      <w:r>
        <w:t>Park stoperi, aracın nerede duracağını sürücüyle tartışmadan söylemek için park cebinin sonuna döşenir. Kauçuk gövde darbeyi sıkışarak alır ve biçimini korur; park stoperi lastiği durdurur, tampon duvara ulaşmaz. Dayanıklı, reflektif şeritli ve dübelle sabittir. Sarı reflektif şerit loş katta yeri belli eder. Park stoperi kapalı ve açık otoparklarda, şarj istasyonlarında ve yükleme kapısı önlerinde kullanılır.</w:t>
      </w:r>
    </w:p>
    <w:p>
      <w:pPr>
        <w:pStyle w:val="Heading1"/>
      </w:pPr>
      <w:r>
        <w:t>2. Teknik özellikler</w:t>
      </w:r>
    </w:p>
    <w:p>
      <w:r>
        <w:t>Kauçuk gövde, aracın lastiğine ve jant kapağına zarar vermeden durdurur.</w:t>
      </w:r>
    </w:p>
    <w:p>
      <w:r>
        <w:t>Sarı reflektif şeritler; kapalı otoparkta ve gece açık alanda görünür.</w:t>
      </w:r>
    </w:p>
    <w:p>
      <w:r>
        <w:t>Havşa başlı dübel delikleri gövdeye gömülüdür; vida başı lastiğe temas etmez.</w:t>
      </w:r>
    </w:p>
    <w:p>
      <w:r>
        <w:t>Modüler; uzun park yerinde yan yana eklenerek uzatılır.</w:t>
      </w:r>
    </w:p>
    <w:p>
      <w:pPr>
        <w:pStyle w:val="Heading1"/>
      </w:pPr>
      <w:r>
        <w:t>3. Ölçü ve sınıflar</w:t>
      </w:r>
    </w:p>
    <w:p>
      <w:r>
        <w:t>Boy / ölçü: 8,5 · 10 · 50 · 55 · 110 · 180 cm</w:t>
      </w:r>
    </w:p>
    <w:p>
      <w:r>
        <w:t>Kauçuk piyasa sınıfları: 1650 · 1830 · 1860 × 150 × 100 mm · tekerlek tipi 600×120×100 mm</w:t>
      </w:r>
    </w:p>
    <w:p>
      <w:r>
        <w:t>Malzeme: NR/SBR kauçuk · Polipropilen · PVC</w:t>
      </w:r>
    </w:p>
    <w:p>
      <w:r>
        <w:t>Ağırlık: 1,9–19 kg (tip ve boya göre)</w:t>
      </w:r>
    </w:p>
    <w:p>
      <w:r>
        <w:t>Montaj: Ø10×110 mm trifon vida + dübel</w:t>
      </w:r>
    </w:p>
    <w:p>
      <w:r>
        <w:t>Model kimliği: Bir stoper modeli uzunluk × genişlik × yükseklik üç ekseni, malzeme, kütle, delik adedi/düzeni ve teslim kitiyle tanımlanır; boy listesi tek başına model tanımlamaz</w:t>
      </w:r>
    </w:p>
    <w:p>
      <w:r>
        <w:t>Not: Değerler üretim programı ve piyasa standardı aralıklardır; sipariş ölçüleri teklifte kesinleştirilir.</w:t>
      </w:r>
    </w:p>
    <w:p>
      <w:pPr>
        <w:pStyle w:val="Heading1"/>
      </w:pPr>
      <w:r>
        <w:t>4. Belgelendirme</w:t>
      </w:r>
    </w:p>
    <w:p>
      <w:r>
        <w:t>Türkiye pazarında sipariş şartnamesine göre üretilir. Avustralya pazarında park stoperi AS/NZS 2890.1 park yeri tasarım standardıyla konuşulur; uygunluk tedarikçi belgesiyle yazılır. Test sonucu ve sertifika ancak rapor ve belgeyle paylaşılır.</w:t>
      </w:r>
    </w:p>
    <w:p>
      <w:r>
        <w:t>Test sonucu ve sertifika ancak rapor ve belgeyle paylaşılır; belgesiz sınıf adı anılmaz.</w:t>
      </w:r>
    </w:p>
    <w:p>
      <w:pPr>
        <w:pStyle w:val="Heading1"/>
      </w:pPr>
      <w:r>
        <w:t>5. Ambalaj ve teslimat</w:t>
      </w:r>
    </w:p>
    <w:p>
      <w:r>
        <w:t>Palet 109 × 135 × 115 cm ölçüsünde kurulur · Ankraj seti ürünle birlikte gider · Kauçuk tipte konteyneri ağırlık sınırlar · Uzun tiplerde palet düzeni ölçüye göre yeniden kurulur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