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Traffic signs</w:t>
      </w:r>
    </w:p>
    <w:p>
      <w:r>
        <w:rPr>
          <w:b/>
          <w:color w:val="666666"/>
          <w:sz w:val="18"/>
        </w:rPr>
        <w:t>SPECIFICATION TEXT (draft)</w:t>
      </w:r>
    </w:p>
    <w:p>
      <w:pPr>
        <w:pStyle w:val="Heading1"/>
      </w:pPr>
      <w:r>
        <w:t>1. Subject and scope</w:t>
      </w:r>
    </w:p>
    <w:p>
      <w:r>
        <w:t>This specification covers the supply of traffic signs. The function and place of use follow the definition below:</w:t>
      </w:r>
    </w:p>
    <w:p>
      <w:r>
        <w:t>Traffic signs and folding stands are used to state the rules of a temporary layout to the driver in words and symbols. The reflective face returns headlight to the driver; the folding stand fits the traffic sign and folding stand set into a van, set out by one person. They are portable, fast and readable. The stand takes ballast, staying upright and aligned on a windy site. Traffic signs and folding stands are used on road works, in temporary diversions, in event traffic and in emergency response.</w:t>
      </w:r>
    </w:p>
    <w:p>
      <w:pPr>
        <w:pStyle w:val="Heading1"/>
      </w:pPr>
      <w:r>
        <w:t>2. Features</w:t>
      </w:r>
    </w:p>
    <w:p>
      <w:r>
        <w:t>The feature table is given in writing with the quotation.</w:t>
      </w:r>
    </w:p>
    <w:p>
      <w:pPr>
        <w:pStyle w:val="Heading1"/>
      </w:pPr>
      <w:r>
        <w:t>3. Dimensions and classes</w:t>
      </w:r>
    </w:p>
    <w:p>
      <w:r>
        <w:t>Sign / stand size: 49–250 cm</w:t>
      </w:r>
    </w:p>
    <w:p>
      <w:r>
        <w:t>Stand type: Folding tripod · fixed foot · barricade body</w:t>
      </w:r>
    </w:p>
    <w:p>
      <w:r>
        <w:t>Sign face: Reflective sheeting, printed to requirement</w:t>
      </w:r>
    </w:p>
    <w:p>
      <w:r>
        <w:t>Substrate and thickness: Aluminium or galvanised sheet; material, thickness and edge/back stiffening are selected separately per specification — different procurement documents call for different materials and thicknesses, which are not one product’s tolerance band</w:t>
      </w:r>
    </w:p>
    <w:p>
      <w:r>
        <w:t>Delivery scope: Sign face only, or sign + post + clamp package; who is responsible for the foundation and support calculation is fixed in writing before the order</w:t>
      </w:r>
    </w:p>
    <w:p>
      <w:r>
        <w:t>Note: values are production-programme and market-standard ranges; order dimensions are fixed in the quotation.</w:t>
      </w:r>
    </w:p>
    <w:p>
      <w:pPr>
        <w:pStyle w:val="Heading1"/>
      </w:pPr>
      <w:r>
        <w:t>4. Documentation</w:t>
      </w:r>
    </w:p>
    <w:p>
      <w:r>
        <w:t>Manufactured to the order’s specification in the Turkish market; the governing document is stated in writing at quotation. The reflective class of the sign face is stated in writing per the supplier’s document; class names are cited only with the document. Test results and certificates are shared with the report and the document.</w:t>
      </w:r>
    </w:p>
    <w:p>
      <w:r>
        <w:t>Test results and certificates are shared only with the report and the document; no class name is cited without its document.</w:t>
      </w:r>
    </w:p>
    <w:p>
      <w:pPr>
        <w:pStyle w:val="Heading1"/>
      </w:pPr>
      <w:r>
        <w:t>5. Packing and delivery</w:t>
      </w:r>
    </w:p>
    <w:p>
      <w:r>
        <w:t>Sign faces and stands are packed separately · Roll-up signs travel in tubes · Spring stands go low on the pallet because of their weight · Print content is set at order</w:t>
      </w:r>
    </w:p>
    <w:p>
      <w:pPr>
        <w:pStyle w:val="Heading1"/>
      </w:pPr>
      <w:r>
        <w:t>6. Quotation and contact</w:t>
      </w:r>
    </w:p>
    <w:p>
      <w:r>
        <w:t>Quotation requests go through trafficindustries.com; the quotation is prepared the same day against quantity, variant and delivery terms.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