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18"/>
        </w:rPr>
        <w:t>TRAFFIC INDUSTRIES</w:t>
      </w:r>
    </w:p>
    <w:p>
      <w:pPr>
        <w:pStyle w:val="Title"/>
      </w:pPr>
      <w:r>
        <w:t>Trafik levhaları</w:t>
      </w:r>
    </w:p>
    <w:p>
      <w:r>
        <w:rPr>
          <w:b/>
          <w:color w:val="666666"/>
          <w:sz w:val="18"/>
        </w:rPr>
        <w:t>ŞARTNAME METNİ (taslak)</w:t>
      </w:r>
    </w:p>
    <w:p>
      <w:pPr>
        <w:pStyle w:val="Heading1"/>
      </w:pPr>
      <w:r>
        <w:t>1. Konu ve kapsam</w:t>
      </w:r>
    </w:p>
    <w:p>
      <w:r>
        <w:t>Bu şartname, trafik levhaları teminini kapsar. Ürünün işlevi ve kullanım yeri aşağıdaki tanıma uyar:</w:t>
      </w:r>
    </w:p>
    <w:p>
      <w:r>
        <w:t>Trafik levhası ve katlanır ayak, geçici düzenin kurallarını sürücüye yazı ve simgeyle bildirmek için kullanılır. Reflektif yüzey far ışığını sürücüye döndürür; katlanır ayak trafik levhası ve katlanır ayak setini kamyonete sığdırır, tek kişi kurar. Taşınabilir, hızlı ve okunurdur. Ayak balast kabul eder; rüzgârlı sahada devrilmeden hizada kalır. Trafik levhası ve katlanır ayak yol çalışmalarında, geçici yönlendirmelerde, etkinlik trafiğinde ve acil müdahalede kullanılır.</w:t>
      </w:r>
    </w:p>
    <w:p>
      <w:pPr>
        <w:pStyle w:val="Heading1"/>
      </w:pPr>
      <w:r>
        <w:t>2. Teknik özellikler</w:t>
      </w:r>
    </w:p>
    <w:p>
      <w:r>
        <w:t>Teknik özellik tablosu teklifle birlikte yazılı verilir.</w:t>
      </w:r>
    </w:p>
    <w:p>
      <w:pPr>
        <w:pStyle w:val="Heading1"/>
      </w:pPr>
      <w:r>
        <w:t>3. Ölçü ve sınıflar</w:t>
      </w:r>
    </w:p>
    <w:p>
      <w:r>
        <w:t>Levha / ayak ölçüsü: 49–250 cm</w:t>
      </w:r>
    </w:p>
    <w:p>
      <w:r>
        <w:t>Ayak tipi: Katlanır tripod · sabit ayak · barikat gövdesi</w:t>
      </w:r>
    </w:p>
    <w:p>
      <w:r>
        <w:t>Levha yüzeyi: Reflektif levha, talebe göre baskılı</w:t>
      </w:r>
    </w:p>
    <w:p>
      <w:r>
        <w:t>Altlık ve kalınlık: Alüminyum veya galvaniz sac; malzeme, et kalınlığı ve kenar/arka takviye şartnameye göre ayrı seçilir — farklı alım belgeleri farklı malzeme ve kalınlık ister, bunlar tek ürünün tolerans bandı değildir</w:t>
      </w:r>
    </w:p>
    <w:p>
      <w:r>
        <w:t>Teslim kapsamı: Yalnız levha yüzü veya levha + direk + kelepçe paketi; temel ve taşıyıcı hesabının sorumlusu sipariş öncesi yazılı belirlenir</w:t>
      </w:r>
    </w:p>
    <w:p>
      <w:r>
        <w:t>Not: Değerler üretim programı ve piyasa standardı aralıklardır; sipariş ölçüleri teklifte kesinleştirilir.</w:t>
      </w:r>
    </w:p>
    <w:p>
      <w:pPr>
        <w:pStyle w:val="Heading1"/>
      </w:pPr>
      <w:r>
        <w:t>4. Belgelendirme</w:t>
      </w:r>
    </w:p>
    <w:p>
      <w:r>
        <w:t>Türkiye pazarında sipariş şartnamesine göre üretilir; uygulanacak belge teklifte yazılı belirtilir. Levha yüzeyinin reflektif sınıfı tedarikçi belgesine göre yazılı bildirilir; sınıf adları ancak belgeyle anılır. Test sonucu ve sertifika ancak rapor ve belgeyle paylaşılır.</w:t>
      </w:r>
    </w:p>
    <w:p>
      <w:r>
        <w:t>Test sonucu ve sertifika ancak rapor ve belgeyle paylaşılır; belgesiz sınıf adı anılmaz.</w:t>
      </w:r>
    </w:p>
    <w:p>
      <w:pPr>
        <w:pStyle w:val="Heading1"/>
      </w:pPr>
      <w:r>
        <w:t>5. Ambalaj ve teslimat</w:t>
      </w:r>
    </w:p>
    <w:p>
      <w:r>
        <w:t>Levha yüzeyi ve ayak ayrı paketlenir · Rulo levhalar tüp içinde taşınır · Yaylı ayaklar ağırlıkları nedeniyle palet altına yerleştirilir · Baskı içeriği sipariş anında belirlenir</w:t>
      </w:r>
    </w:p>
    <w:p>
      <w:pPr>
        <w:pStyle w:val="Heading1"/>
      </w:pPr>
      <w:r>
        <w:t>6. Teklif ve iletişim</w:t>
      </w:r>
    </w:p>
    <w:p>
      <w:r>
        <w:t>Teklif talebi trafficindustries.com üzerinden verilir; miktar, varyant ve teslim şekline göre teklif aynı gün hazırlanır.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