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18"/>
        </w:rPr>
        <w:t>TRAFFIC INDUSTRIES</w:t>
      </w:r>
    </w:p>
    <w:p>
      <w:pPr>
        <w:pStyle w:val="Title"/>
      </w:pPr>
      <w:r>
        <w:t>Traffic cones</w:t>
      </w:r>
    </w:p>
    <w:p>
      <w:r>
        <w:rPr>
          <w:b/>
          <w:color w:val="666666"/>
          <w:sz w:val="18"/>
        </w:rPr>
        <w:t>SPECIFICATION TEXT (draft)</w:t>
      </w:r>
    </w:p>
    <w:p>
      <w:pPr>
        <w:pStyle w:val="Heading1"/>
      </w:pPr>
      <w:r>
        <w:t>1. Subject and scope</w:t>
      </w:r>
    </w:p>
    <w:p>
      <w:r>
        <w:t>This specification covers the supply of traffic cones. The function and place of use follow the definition below:</w:t>
      </w:r>
    </w:p>
    <w:p>
      <w:r>
        <w:t>The traffic cone is the warning element that builds a temporary layout fastest and clears it fastest. The weighted base holds the traffic cone in place against wind; reflective collars return headlight to the driver; cones stack into each other. It is light, durable and stackable. The tip takes a lamp and a sign, the body takes chain and bar; a traffic cone line becomes a continuous guidance line when needed — a cone marks, it is not a tested vehicle barrier. The traffic cone is used in lane closures, at incident scenes, in line painting, in car parks and on event grounds.</w:t>
      </w:r>
    </w:p>
    <w:p>
      <w:pPr>
        <w:pStyle w:val="Heading1"/>
      </w:pPr>
      <w:r>
        <w:t>2. Features</w:t>
      </w:r>
    </w:p>
    <w:p>
      <w:r>
        <w:t>The body carries a moulded handle and a chain hole, so one person can move several cones at once.</w:t>
      </w:r>
    </w:p>
    <w:p>
      <w:r>
        <w:t>An adaptor takes a lamp, a sign board or a chain on top, so the cone need not work alone.</w:t>
      </w:r>
    </w:p>
    <w:p>
      <w:r>
        <w:t>The stackable body takes the least possible space in the store and in the vehicle.</w:t>
      </w:r>
    </w:p>
    <w:p>
      <w:r>
        <w:t>The wide-angled base raises wind resistance and stability against toppling.</w:t>
      </w:r>
    </w:p>
    <w:p>
      <w:r>
        <w:t>UV-protected bright orange; the colour holds for a long service life.</w:t>
      </w:r>
    </w:p>
    <w:p>
      <w:r>
        <w:t>The reflective collar is prismatic sheeting, which under like class and measurement conditions generally returns more light than glass-bead material — the class is stated on the datasheet.</w:t>
      </w:r>
    </w:p>
    <w:p>
      <w:pPr>
        <w:pStyle w:val="Heading1"/>
      </w:pPr>
      <w:r>
        <w:t>3. Dimensions and classes</w:t>
      </w:r>
    </w:p>
    <w:p>
      <w:r>
        <w:t>Body / size: 32 · 50 · 52 · 70 · 75 · 90 cm</w:t>
      </w:r>
    </w:p>
    <w:p>
      <w:r>
        <w:t>Base size: 22x22 cm · 28.5x28.5 cm · 32 cm · 35 cm</w:t>
      </w:r>
    </w:p>
    <w:p>
      <w:r>
        <w:t>Material: PVC · TPE</w:t>
      </w:r>
    </w:p>
    <w:p>
      <w:r>
        <w:t>Weight: 0.54–6.9 kg</w:t>
      </w:r>
    </w:p>
    <w:p>
      <w:r>
        <w:t>Retroreflective material: Prismatic reflective sheeting · Type IV</w:t>
      </w:r>
    </w:p>
    <w:p>
      <w:r>
        <w:t>Model identity: A cone model is defined by five axes: height · body material · base type/weight · collar count-width-position · class document. The quotation carries all five; height alone does not identify a model</w:t>
      </w:r>
    </w:p>
    <w:p>
      <w:r>
        <w:t>Note: values are production-programme and market-standard ranges; order dimensions are fixed in the quotation.</w:t>
      </w:r>
    </w:p>
    <w:p>
      <w:pPr>
        <w:pStyle w:val="Heading1"/>
      </w:pPr>
      <w:r>
        <w:t>4. Documentation</w:t>
      </w:r>
    </w:p>
    <w:p>
      <w:r>
        <w:t>The traffic cone is designed for the product class covered by EN 13422 (traffic cones and cylinders); in the Turkish market the national adoption is the TS EN 13422 series; the edition in force is stated with its date in the quotation. The governing document and the reflective class are stated in writing at quotation. Test results and certificates are shared with the report and the document.</w:t>
      </w:r>
    </w:p>
    <w:p>
      <w:r>
        <w:t>Test results and certificates are shared only with the report and the document; no class name is cited without its document.</w:t>
      </w:r>
    </w:p>
    <w:p>
      <w:pPr>
        <w:pStyle w:val="Heading1"/>
      </w:pPr>
      <w:r>
        <w:t>5. Packing and delivery</w:t>
      </w:r>
    </w:p>
    <w:p>
      <w:r>
        <w:t>Nested and palletised — container efficiency is high · The count per pallet follows the height and base size · Mixed-height loads are common · Reflective collars ship fitted</w:t>
      </w:r>
    </w:p>
    <w:p>
      <w:pPr>
        <w:pStyle w:val="Heading1"/>
      </w:pPr>
      <w:r>
        <w:t>6. Quotation and contact</w:t>
      </w:r>
    </w:p>
    <w:p>
      <w:r>
        <w:t>Quotation requests go through trafficindustries.com; the quotation is prepared the same day against quantity, variant and delivery terms.</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