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18"/>
        </w:rPr>
        <w:t>TRAFFIC INDUSTRIES</w:t>
      </w:r>
    </w:p>
    <w:p>
      <w:pPr>
        <w:pStyle w:val="Title"/>
      </w:pPr>
      <w:r>
        <w:t>Trafik konisi</w:t>
      </w:r>
    </w:p>
    <w:p>
      <w:r>
        <w:rPr>
          <w:b/>
          <w:color w:val="666666"/>
          <w:sz w:val="18"/>
        </w:rPr>
        <w:t>ŞARTNAME METNİ (taslak)</w:t>
      </w:r>
    </w:p>
    <w:p>
      <w:pPr>
        <w:pStyle w:val="Heading1"/>
      </w:pPr>
      <w:r>
        <w:t>1. Konu ve kapsam</w:t>
      </w:r>
    </w:p>
    <w:p>
      <w:r>
        <w:t>Bu şartname, trafik konisi teminini kapsar. Ürünün işlevi ve kullanım yeri aşağıdaki tanıma uyar:</w:t>
      </w:r>
    </w:p>
    <w:p>
      <w:r>
        <w:t>Trafik konisi, geçici bir düzeni en hızlı kuran ve en hızlı toplayan uyarı elemanıdır. Ağırlıklı taban trafik konisini rüzgâra karşı yerinde tutar; reflektif yakalar far ışığını sürücüye döndürür; koniler iç içe istiflenir. Hafif, dayanıklı ve istiflenebilirdir. Tepesi lamba ve levha, gövdesi zincir-bar kabul eder; trafik konisi hattı gerektiğinde kesintisiz bir yönlendirme hattına dönüşür — koni bir işarettir, test edilmiş araç bariyeri değildir. Trafik konisi şerit kapamada, kaza yerinde, çizgi boyamada, otoparkta ve etkinlik alanında kullanılır.</w:t>
      </w:r>
    </w:p>
    <w:p>
      <w:pPr>
        <w:pStyle w:val="Heading1"/>
      </w:pPr>
      <w:r>
        <w:t>2. Teknik özellikler</w:t>
      </w:r>
    </w:p>
    <w:p>
      <w:r>
        <w:t>Gövdede taşıma kulpu ve zincir deliği vardır — tek kişi birden fazla koniyi taşır.</w:t>
      </w:r>
    </w:p>
    <w:p>
      <w:r>
        <w:t>Adaptörle üstüne lamba, levha ya da zincir takılır; koni tek başına bırakılmaz.</w:t>
      </w:r>
    </w:p>
    <w:p>
      <w:r>
        <w:t>İstiflenebilir gövde depoda ve araçta en az yer kaplar.</w:t>
      </w:r>
    </w:p>
    <w:p>
      <w:r>
        <w:t>Geniş açılı taban rüzgâr direncini ve devrilme kararlılığını artırır.</w:t>
      </w:r>
    </w:p>
    <w:p>
      <w:r>
        <w:t>UV korumalı parlak turuncu; renk uzun süre solmaz.</w:t>
      </w:r>
    </w:p>
    <w:p>
      <w:r>
        <w:t>Reflektif yaka prizmatik levhadır; aynı sınıf ve ölçüm koşullarında cam küreli malzemeye göre genellikle daha yüksek geri yansıma verir — sınıf föyde belirtilir.</w:t>
      </w:r>
    </w:p>
    <w:p>
      <w:pPr>
        <w:pStyle w:val="Heading1"/>
      </w:pPr>
      <w:r>
        <w:t>3. Ölçü ve sınıflar</w:t>
      </w:r>
    </w:p>
    <w:p>
      <w:r>
        <w:t>Boy / ölçü: 32 · 50 · 52 · 70 · 75 · 90 cm</w:t>
      </w:r>
    </w:p>
    <w:p>
      <w:r>
        <w:t>Taban ölçüsü: 22x22 cm · 28,5x28,5 cm · 32 cm · 35 cm</w:t>
      </w:r>
    </w:p>
    <w:p>
      <w:r>
        <w:t>Malzeme: PVC · TPE</w:t>
      </w:r>
    </w:p>
    <w:p>
      <w:r>
        <w:t>Ağırlık: 0,54–6,9 kg</w:t>
      </w:r>
    </w:p>
    <w:p>
      <w:r>
        <w:t>Reflektif malzeme: Prizmatik reflektif levha · Tip IV</w:t>
      </w:r>
    </w:p>
    <w:p>
      <w:r>
        <w:t>Model kimliği: Bir koni modeli beş eksenle tanımlanır: boy · gövde malzemesi · taban tipi/ağırlığı · yaka adedi-genişliği-konumu · sınıf belgesi. Teklif bu beş alanla verilir; tek başına boy, modeli tanımlamaz</w:t>
      </w:r>
    </w:p>
    <w:p>
      <w:r>
        <w:t>Not: Değerler üretim programı ve piyasa standardı aralıklardır; sipariş ölçüleri teklifte kesinleştirilir.</w:t>
      </w:r>
    </w:p>
    <w:p>
      <w:pPr>
        <w:pStyle w:val="Heading1"/>
      </w:pPr>
      <w:r>
        <w:t>4. Belgelendirme</w:t>
      </w:r>
    </w:p>
    <w:p>
      <w:r>
        <w:t>Trafik konisi, EN 13422 kapsamındaki ürün sınıfı (trafik konileri ve silindirleri) için tasarlanır; Türkiye pazarında ulusal kabul TS EN 13422 serisidir; yürürlükteki baskı, teklifte tarihiyle yazılır. Uygulanacak belge ve reflektif sınıf teklifte yazılı belirtilir. Test sonucu ve sertifika ancak rapor ve belgeyle paylaşılır.</w:t>
      </w:r>
    </w:p>
    <w:p>
      <w:r>
        <w:t>Test sonucu ve sertifika ancak rapor ve belgeyle paylaşılır; belgesiz sınıf adı anılmaz.</w:t>
      </w:r>
    </w:p>
    <w:p>
      <w:pPr>
        <w:pStyle w:val="Heading1"/>
      </w:pPr>
      <w:r>
        <w:t>5. Ambalaj ve teslimat</w:t>
      </w:r>
    </w:p>
    <w:p>
      <w:r>
        <w:t>İç içe istiflenerek paletlenir — konteyner verimi yüksektir · Palet adedi boy ve taban ölçüsüne göre değişir · Karışık boy yüklemesi yaygındır · Reflektif yaka takılı sevk edilir</w:t>
      </w:r>
    </w:p>
    <w:p>
      <w:pPr>
        <w:pStyle w:val="Heading1"/>
      </w:pPr>
      <w:r>
        <w:t>6. Teklif ve iletişim</w:t>
      </w:r>
    </w:p>
    <w:p>
      <w:r>
        <w:t>Teklif talebi trafficindustries.com üzerinden verilir; miktar, varyant ve teslim şekline göre teklif aynı gün hazırlanır.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