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Tactile indicators &amp; anti-slip</w:t>
      </w:r>
    </w:p>
    <w:p>
      <w:r>
        <w:rPr>
          <w:b/>
          <w:color w:val="666666"/>
          <w:sz w:val="18"/>
        </w:rPr>
        <w:t>SPECIFICATION TEXT (draft)</w:t>
      </w:r>
    </w:p>
    <w:p>
      <w:pPr>
        <w:pStyle w:val="Heading1"/>
      </w:pPr>
      <w:r>
        <w:t>1. Subject and scope</w:t>
      </w:r>
    </w:p>
    <w:p>
      <w:r>
        <w:t>This specification covers the supply of tactile indicators &amp; anti-slip. The function and place of use follow the definition below:</w:t>
      </w:r>
    </w:p>
    <w:p>
      <w:r>
        <w:t>The tactile surface goes down to speak to blind pedestrians through the floor: blisters warn and stop; what a bar pattern means depends on the country and its orientation scheme — it can guide or warn of a hazard, so the scheme of the project country governs. The white cane and the sole read the texture; the tactile surface delivers the message without sight. It reads underfoot, contrasts and grips. The yellow surface also guides partially sighted pedestrians by luminance contrast. The tactile surface is used at dropped kerbs, heads of stairs, platform edges and building entrances.</w:t>
      </w:r>
    </w:p>
    <w:p>
      <w:pPr>
        <w:pStyle w:val="Heading1"/>
      </w:pPr>
      <w:r>
        <w:t>2. Features</w:t>
      </w:r>
    </w:p>
    <w:p>
      <w:r>
        <w:t>The feature table is given in writing with the quotation.</w:t>
      </w:r>
    </w:p>
    <w:p>
      <w:pPr>
        <w:pStyle w:val="Heading1"/>
      </w:pPr>
      <w:r>
        <w:t>3. Dimensions and classes</w:t>
      </w:r>
    </w:p>
    <w:p>
      <w:r>
        <w:t>Pattern: Blister (warning) · bar (guidance)</w:t>
      </w:r>
    </w:p>
    <w:p>
      <w:r>
        <w:t>Plate class: 30×30 cm plate · roll 40 cm × 250 m · profile 4–5 mm — production-programme examples; the model datasheet and dated standard mapping come with the quotation</w:t>
      </w:r>
    </w:p>
    <w:p>
      <w:r>
        <w:t>Material: TPU · stainless steel · aluminium · tile</w:t>
      </w:r>
    </w:p>
    <w:p>
      <w:r>
        <w:t>Application: Bonded plate · individually fitted studs · integrated tile</w:t>
      </w:r>
    </w:p>
    <w:p>
      <w:r>
        <w:t>Contrast: Luminance difference against the floor measured per ISO 23599</w:t>
      </w:r>
    </w:p>
    <w:p>
      <w:r>
        <w:t>Application mapping: Model + substrate (asphalt/concrete/tile) + moisture condition + adhesive + surface preparation + reopening time are mapped in one table; the values come from the adhesive instructions and are issued with the quotation</w:t>
      </w:r>
    </w:p>
    <w:p>
      <w:r>
        <w:t>Note: values are production-programme and market-standard ranges; order dimensions are fixed in the quotation.</w:t>
      </w:r>
    </w:p>
    <w:p>
      <w:pPr>
        <w:pStyle w:val="Heading1"/>
      </w:pPr>
      <w:r>
        <w:t>4. Documentation</w:t>
      </w:r>
    </w:p>
    <w:p>
      <w:r>
        <w:t>The Turkish market speaks of tactile surfaces through TS ISO 23599, TS 13536 and TS 13720; conformity is written with the supplier document. Contrast and profile dimensions follow the authority specification. Test results and certificates are shared with the report and the document.</w:t>
      </w:r>
    </w:p>
    <w:p>
      <w:r>
        <w:t>Test results and certificates are shared only with the report and the document; no class name is cited without its document.</w:t>
      </w:r>
    </w:p>
    <w:p>
      <w:pPr>
        <w:pStyle w:val="Heading1"/>
      </w:pPr>
      <w:r>
        <w:t>5. Packing and delivery</w:t>
      </w:r>
    </w:p>
    <w:p>
      <w:r>
        <w:t>Plates are stacked flat and palletised · Adhesive is a separate item · Individually fitted studs ship in counted boxes · Mixed colour and pattern loads are accepted</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