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18"/>
        </w:rPr>
        <w:t>TRAFFIC INDUSTRIES</w:t>
      </w:r>
    </w:p>
    <w:p>
      <w:pPr>
        <w:pStyle w:val="Title"/>
      </w:pPr>
      <w:r>
        <w:t>Solar &amp; AC warning lamps</w:t>
      </w:r>
    </w:p>
    <w:p>
      <w:r>
        <w:rPr>
          <w:b/>
          <w:color w:val="666666"/>
          <w:sz w:val="18"/>
        </w:rPr>
        <w:t>SPECIFICATION TEXT (draft)</w:t>
      </w:r>
    </w:p>
    <w:p>
      <w:pPr>
        <w:pStyle w:val="Heading1"/>
      </w:pPr>
      <w:r>
        <w:t>1. Subject and scope</w:t>
      </w:r>
    </w:p>
    <w:p>
      <w:r>
        <w:t>This specification covers the supply of solar &amp; ac warning lamps. The function and place of use follow the definition below:</w:t>
      </w:r>
    </w:p>
    <w:p>
      <w:r>
        <w:t>Night warning without pulling a cable: the solar panel charges through the day and the lamp warns from dusk to dawn at 54 flashes a minute. Visibility at a work zone, a bend or a hazard point with no wiring to arrange.</w:t>
      </w:r>
    </w:p>
    <w:p>
      <w:pPr>
        <w:pStyle w:val="Heading1"/>
      </w:pPr>
      <w:r>
        <w:t>2. Features</w:t>
      </w:r>
    </w:p>
    <w:p>
      <w:r>
        <w:t>Uni-directional, flashing and steady modes, so the strength of the warning suits the job.</w:t>
      </w:r>
    </w:p>
    <w:p>
      <w:r>
        <w:t>Flash rate and mode options are stated on the model datasheet; the rhythm required by the authority specification is matched in the quotation.</w:t>
      </w:r>
    </w:p>
    <w:p>
      <w:r>
        <w:t>Solar, battery and 12 V / 220 V mains-powered versions are available.</w:t>
      </w:r>
    </w:p>
    <w:p>
      <w:r>
        <w:t>Fits an omega profile or a Ø50–75 mm post without a separate bracket.</w:t>
      </w:r>
    </w:p>
    <w:p>
      <w:r>
        <w:t>Operating temperature −20 / +60 °C.</w:t>
      </w:r>
    </w:p>
    <w:p>
      <w:pPr>
        <w:pStyle w:val="Heading1"/>
      </w:pPr>
      <w:r>
        <w:t>3. Dimensions and classes</w:t>
      </w:r>
    </w:p>
    <w:p>
      <w:r>
        <w:t>Body / size: 14.5–128 cm</w:t>
      </w:r>
    </w:p>
    <w:p>
      <w:r>
        <w:t>Power identity: Panel power (W) · battery voltage, capacity and chemistry (V/Ah) · consumption and operating mode · the autonomy figure together with the condition it was measured under — all five are stated on the model datasheet; an offer with these fields empty cannot be compared</w:t>
      </w:r>
    </w:p>
    <w:p>
      <w:r>
        <w:t>Note: values are production-programme and market-standard ranges; order dimensions are fixed in the quotation.</w:t>
      </w:r>
    </w:p>
    <w:p>
      <w:pPr>
        <w:pStyle w:val="Heading1"/>
      </w:pPr>
      <w:r>
        <w:t>4. Documentation</w:t>
      </w:r>
    </w:p>
    <w:p>
      <w:r>
        <w:t>The governing document and standard are stated in writing at quotation.</w:t>
      </w:r>
    </w:p>
    <w:p>
      <w:r>
        <w:t>Test results and certificates are shared only with the report and the document; no class name is cited without its document.</w:t>
      </w:r>
    </w:p>
    <w:p>
      <w:pPr>
        <w:pStyle w:val="Heading1"/>
      </w:pPr>
      <w:r>
        <w:t>5. Packing and delivery</w:t>
      </w:r>
    </w:p>
    <w:p>
      <w:r>
        <w:t>Boxed and packed in cartons · Batteries ship fitted and isolated, with restrictions by air · The mounting bracket travels with the product · A light product, limited by volume</w:t>
      </w:r>
    </w:p>
    <w:p>
      <w:pPr>
        <w:pStyle w:val="Heading1"/>
      </w:pPr>
      <w:r>
        <w:t>6. Quotation and contact</w:t>
      </w:r>
    </w:p>
    <w:p>
      <w:r>
        <w:t>Quotation requests go through trafficindustries.com; the quotation is prepared the same day against quantity, variant and delivery terms.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