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18"/>
        </w:rPr>
        <w:t>TRAFFIC INDUSTRIES</w:t>
      </w:r>
    </w:p>
    <w:p>
      <w:pPr>
        <w:pStyle w:val="Title"/>
      </w:pPr>
      <w:r>
        <w:t>Solar ve AC ikaz lambası</w:t>
      </w:r>
    </w:p>
    <w:p>
      <w:r>
        <w:rPr>
          <w:b/>
          <w:color w:val="666666"/>
          <w:sz w:val="18"/>
        </w:rPr>
        <w:t>ŞARTNAME METNİ (taslak)</w:t>
      </w:r>
    </w:p>
    <w:p>
      <w:pPr>
        <w:pStyle w:val="Heading1"/>
      </w:pPr>
      <w:r>
        <w:t>1. Konu ve kapsam</w:t>
      </w:r>
    </w:p>
    <w:p>
      <w:r>
        <w:t>Bu şartname, solar ve ac ikaz lambası teminini kapsar. Ürünün işlevi ve kullanım yeri aşağıdaki tanıma uyar:</w:t>
      </w:r>
    </w:p>
    <w:p>
      <w:r>
        <w:t>Elektrik çekmeden çalışan gece uyarısı: solar panel gün boyu doldurur, lamba dakikada 54 flaşla akşamdan sabaha uyarır. Şantiyede, virajda ve tehlike noktasında kablo derdi olmadan görünürlük.</w:t>
      </w:r>
    </w:p>
    <w:p>
      <w:pPr>
        <w:pStyle w:val="Heading1"/>
      </w:pPr>
      <w:r>
        <w:t>2. Teknik özellikler</w:t>
      </w:r>
    </w:p>
    <w:p>
      <w:r>
        <w:t>Tek yönlü, flaşörlü ve sürekli yanma modları — uyarının şiddeti işe göre seçilir.</w:t>
      </w:r>
    </w:p>
    <w:p>
      <w:r>
        <w:t>Flaş temposu ve mod seçenekleri model föyünde yazılıdır; idare şartnamesindeki ritim şartı teklifte eşlenir.</w:t>
      </w:r>
    </w:p>
    <w:p>
      <w:r>
        <w:t>Solar, bataryalı ve 12 V / 220 V şebeke beslemeli tipleri vardır.</w:t>
      </w:r>
    </w:p>
    <w:p>
      <w:r>
        <w:t>Omega profile ya da Ø50–75 mm direğe takılır; ayrı braket gerekmez.</w:t>
      </w:r>
    </w:p>
    <w:p>
      <w:r>
        <w:t>Çalışma sıcaklığı −20 / +60 °C.</w:t>
      </w:r>
    </w:p>
    <w:p>
      <w:pPr>
        <w:pStyle w:val="Heading1"/>
      </w:pPr>
      <w:r>
        <w:t>3. Ölçü ve sınıflar</w:t>
      </w:r>
    </w:p>
    <w:p>
      <w:r>
        <w:t>Boy / ölçü: 14,5–128 cm</w:t>
      </w:r>
    </w:p>
    <w:p>
      <w:r>
        <w:t>Enerji kimliği: Panel gücü (W) · akü gerilimi, kapasitesi ve kimyası (V/Ah) · tüketim ve çalışma modu · özerklik değeri, ölçüldüğü koşulla birlikte — beşi de model föyünde yazılır; bu alanlar boş olan teklif karşılaştırılamaz</w:t>
      </w:r>
    </w:p>
    <w:p>
      <w:r>
        <w:t>Not: Değerler üretim programı ve piyasa standardı aralıklardır; sipariş ölçüleri teklifte kesinleştirilir.</w:t>
      </w:r>
    </w:p>
    <w:p>
      <w:pPr>
        <w:pStyle w:val="Heading1"/>
      </w:pPr>
      <w:r>
        <w:t>4. Belgelendirme</w:t>
      </w:r>
    </w:p>
    <w:p>
      <w:r>
        <w:t>Uygulanacak belge ve standart, sipariş şartnamesine göre teklifte yazılı belirtilir.</w:t>
      </w:r>
    </w:p>
    <w:p>
      <w:r>
        <w:t>Test sonucu ve sertifika ancak rapor ve belgeyle paylaşılır; belgesiz sınıf adı anılmaz.</w:t>
      </w:r>
    </w:p>
    <w:p>
      <w:pPr>
        <w:pStyle w:val="Heading1"/>
      </w:pPr>
      <w:r>
        <w:t>5. Ambalaj ve teslimat</w:t>
      </w:r>
    </w:p>
    <w:p>
      <w:r>
        <w:t>Kutulu olarak koliye girer · Bataryalar takılı ve yalıtılmış sevk edilir, hava yolunda kısıtlıdır · Montaj braketi ürünle birlikte gider · Hafif ürün, hacim sınırlar</w:t>
      </w:r>
    </w:p>
    <w:p>
      <w:pPr>
        <w:pStyle w:val="Heading1"/>
      </w:pPr>
      <w:r>
        <w:t>6. Teklif ve iletişim</w:t>
      </w:r>
    </w:p>
    <w:p>
      <w:r>
        <w:t>Teklif talebi trafficindustries.com üzerinden verilir; miktar, varyant ve teslim şekline göre teklif aynı gün hazırlanır.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