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sz w:val="18"/>
        </w:rPr>
        <w:t>TRAFFIC INDUSTRIES</w:t>
      </w:r>
    </w:p>
    <w:p>
      <w:pPr>
        <w:pStyle w:val="Title"/>
      </w:pPr>
      <w:r>
        <w:t>Safety barricades</w:t>
      </w:r>
    </w:p>
    <w:p>
      <w:r>
        <w:rPr>
          <w:b/>
          <w:color w:val="666666"/>
          <w:sz w:val="18"/>
        </w:rPr>
        <w:t>SPECIFICATION TEXT (draft)</w:t>
      </w:r>
    </w:p>
    <w:p>
      <w:pPr>
        <w:pStyle w:val="Heading1"/>
      </w:pPr>
      <w:r>
        <w:t>1. Subject and scope</w:t>
      </w:r>
    </w:p>
    <w:p>
      <w:r>
        <w:t>This specification covers the supply of safety barricades. The function and place of use follow the definition below:</w:t>
      </w:r>
    </w:p>
    <w:p>
      <w:r>
        <w:t>Safety barricades are used to close off an excavation and keep pedestrian and vehicle flow away from the work point. Reflective panels warn by pattern in daylight and by returned light at night; safety barricades are set out and collected by one person. They are light, visible and ballastable. The body takes a warning lamp, building a light-carrying line after dark. Safety barricades are used on pavement works, around open manholes, on short interventions and at events.</w:t>
      </w:r>
    </w:p>
    <w:p>
      <w:pPr>
        <w:pStyle w:val="Heading1"/>
      </w:pPr>
      <w:r>
        <w:t>2. Features</w:t>
      </w:r>
    </w:p>
    <w:p>
      <w:r>
        <w:t>A weighted base raises tipping resistance; stability depends on the run layout, the ballast and the ground.</w:t>
      </w:r>
    </w:p>
    <w:p>
      <w:r>
        <w:t>Units interlock, so an unbroken run can be built to any length.</w:t>
      </w:r>
    </w:p>
    <w:p>
      <w:r>
        <w:t>Reflective banding and cat eyes on the sides make the run readable under headlights.</w:t>
      </w:r>
    </w:p>
    <w:p>
      <w:r>
        <w:t>The anti-skid base holds position on wet asphalt and concrete.</w:t>
      </w:r>
    </w:p>
    <w:p>
      <w:r>
        <w:t>Yellow and white body options; the red-and-white striped version is the work-zone standard.</w:t>
      </w:r>
    </w:p>
    <w:p>
      <w:pPr>
        <w:pStyle w:val="Heading1"/>
      </w:pPr>
      <w:r>
        <w:t>3. Dimensions and classes</w:t>
      </w:r>
    </w:p>
    <w:p>
      <w:r>
        <w:t>Body / size: 40–200 cm</w:t>
      </w:r>
    </w:p>
    <w:p>
      <w:r>
        <w:t>Material: Polypropylene · Steel</w:t>
      </w:r>
    </w:p>
    <w:p>
      <w:r>
        <w:t>Weight: 10.5–20 kg</w:t>
      </w:r>
    </w:p>
    <w:p>
      <w:r>
        <w:t>Colour: Red-white · yellow-black</w:t>
      </w:r>
    </w:p>
    <w:p>
      <w:r>
        <w:t>Retroreflective material: Prismatic reflective sheeting</w:t>
      </w:r>
    </w:p>
    <w:p>
      <w:r>
        <w:t>Panel and foot dimensions: Panel width/thickness and the foot footprint are separate dimensions; on a pedestrian route the clear passage width is calculated from the foot footprint. Where a cane-detectable lower element is required, that requirement is stated before the order</w:t>
      </w:r>
    </w:p>
    <w:p>
      <w:r>
        <w:t>Note: values are production-programme and market-standard ranges; order dimensions are fixed in the quotation.</w:t>
      </w:r>
    </w:p>
    <w:p>
      <w:pPr>
        <w:pStyle w:val="Heading1"/>
      </w:pPr>
      <w:r>
        <w:t>4. Documentation</w:t>
      </w:r>
    </w:p>
    <w:p>
      <w:r>
        <w:t>Manufactured to the order’s specification in the Turkish market. In US language barricades are described by the design figures of MUTCD Chapter 6K: barricade rails with 6-inch stripes, retroreflective on the faces toward traffic. Test results and certificates are shared with the report and the document.</w:t>
      </w:r>
    </w:p>
    <w:p>
      <w:r>
        <w:t>Test results and certificates are shared only with the report and the document; no class name is cited without its document.</w:t>
      </w:r>
    </w:p>
    <w:p>
      <w:pPr>
        <w:pStyle w:val="Heading1"/>
      </w:pPr>
      <w:r>
        <w:t>5. Packing and delivery</w:t>
      </w:r>
    </w:p>
    <w:p>
      <w:r>
        <w:t>Folding types are palletised flat · Reflective panels ship fitted · The warning lamp is a separate line item · Ballast is sourced on site and is not part of the shipment</w:t>
      </w:r>
    </w:p>
    <w:p>
      <w:pPr>
        <w:pStyle w:val="Heading1"/>
      </w:pPr>
      <w:r>
        <w:t>6. Quotation and contact</w:t>
      </w:r>
    </w:p>
    <w:p>
      <w:r>
        <w:t>Quotation requests go through trafficindustries.com; the quotation is prepared the same day against quantity, variant and delivery terms.</w:t>
      </w:r>
    </w:p>
    <w:sectPr w:rsidR="00FC693F" w:rsidRPr="0006063C" w:rsidSect="00034616">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