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Roadside delineator posts</w:t>
      </w:r>
    </w:p>
    <w:p>
      <w:r>
        <w:rPr>
          <w:b/>
          <w:color w:val="666666"/>
          <w:sz w:val="18"/>
        </w:rPr>
        <w:t>SPECIFICATION TEXT (draft)</w:t>
      </w:r>
    </w:p>
    <w:p>
      <w:pPr>
        <w:pStyle w:val="Heading1"/>
      </w:pPr>
      <w:r>
        <w:t>1. Subject and scope</w:t>
      </w:r>
    </w:p>
    <w:p>
      <w:r>
        <w:t>This specification covers the supply of roadside delineator posts. The function and place of use follow the definition below:</w:t>
      </w:r>
    </w:p>
    <w:p>
      <w:r>
        <w:t>The roadside delineator post is designed to keep the edge line of the road and the boundary of the embankment visible to the driver at night and in bad weather. The glass-reinforced polyester body spends impact energy by flexing; in typical glancing contact the roadside delineator post flexes without damaging the vehicle and returns to position. It is flexible, fade-proof and long-lived. With reflectors on both faces the line reads from either direction, and with bolted mounting it marks the top of an existing steel barrier. The roadside delineator post is used on interurban roads, on village and rural roads, in work-zone diversions and along pipeline routes.</w:t>
      </w:r>
    </w:p>
    <w:p>
      <w:pPr>
        <w:pStyle w:val="Heading1"/>
      </w:pPr>
      <w:r>
        <w:t>2. Features</w:t>
      </w:r>
    </w:p>
    <w:p>
      <w:r>
        <w:t>Made by pultrusion, with glass fibre running both lengthwise and crosswise — which is why it folds under impact instead of breaking.</w:t>
      </w:r>
    </w:p>
    <w:p>
      <w:r>
        <w:t>The pigment sits in the compound. A scratch does not discolour it and it does not fade in sunlight; the yellowness index stays at or below 12.</w:t>
      </w:r>
    </w:p>
    <w:p>
      <w:r>
        <w:t>The burial depth arrives marked on the body as a horizontal black line, so every post stands at the same height regardless of who installs it.</w:t>
      </w:r>
    </w:p>
    <w:p>
      <w:r>
        <w:t>Retroreflective material on both faces: red on the concave front face, white on the convex — the driver sees red in the right-hand row and white in the left.</w:t>
      </w:r>
    </w:p>
    <w:p>
      <w:r>
        <w:t>Virgin raw material only. Fatigued or reprocessed material is not used.</w:t>
      </w:r>
    </w:p>
    <w:p>
      <w:r>
        <w:t>Can be riveted or bolted to an existing steel barrier; if bolted it can be removed and reused on another route.</w:t>
      </w:r>
    </w:p>
    <w:p>
      <w:pPr>
        <w:pStyle w:val="Heading1"/>
      </w:pPr>
      <w:r>
        <w:t>3. Dimensions and classes</w:t>
      </w:r>
    </w:p>
    <w:p>
      <w:r>
        <w:t>Height — total / above ground: 1150/700 · 1300/800 · 1500/950 mm — the standard height is 1300 mm; for snow and fog regions special lengths up to 3000 mm are made to order</w:t>
      </w:r>
    </w:p>
    <w:p>
      <w:r>
        <w:t>Buried depth: By height: 450 / 500 / 550 mm (total minus above-ground); the horizontal black line on the body marks ground level for that variant</w:t>
      </w:r>
    </w:p>
    <w:p>
      <w:r>
        <w:t>Width × wall thickness: 100 × 3 mm</w:t>
      </w:r>
    </w:p>
    <w:p>
      <w:r>
        <w:t>Curvature (section camber): 10 mm</w:t>
      </w:r>
    </w:p>
    <w:p>
      <w:r>
        <w:t>Reflector size: 150 × 70 mm — reflectors on both faces: red on the concave front face, white on the convex face</w:t>
      </w:r>
    </w:p>
    <w:p>
      <w:r>
        <w:t>Tolerances: Width and height ±2% · curvature max +3 mm · thickness ±5%</w:t>
      </w:r>
    </w:p>
    <w:p>
      <w:r>
        <w:t>Material: Glass reinforced polyester — virgin material only</w:t>
      </w:r>
    </w:p>
    <w:p>
      <w:r>
        <w:t>Production method: Pultrusion; both faces smooth, opaque white</w:t>
      </w:r>
    </w:p>
    <w:p>
      <w:r>
        <w:t>Flexural tensile strength: min. 500 MPa</w:t>
      </w:r>
    </w:p>
    <w:p>
      <w:r>
        <w:t>Bending temperature under load: min. 95 °C</w:t>
      </w:r>
    </w:p>
    <w:p>
      <w:r>
        <w:t>Water absorption: ≤ 0.40% by weight</w:t>
      </w:r>
    </w:p>
    <w:p>
      <w:r>
        <w:t>Flame resistance: Non-flammable or self-extinguishing type</w:t>
      </w:r>
    </w:p>
    <w:p>
      <w:r>
        <w:t>Operating temperature: −30 … +80 °C</w:t>
      </w:r>
    </w:p>
    <w:p>
      <w:r>
        <w:t>Body colours: White, yellow</w:t>
      </w:r>
    </w:p>
    <w:p>
      <w:r>
        <w:t>Yellowness index: ≤ 12 (ASTM E313)</w:t>
      </w:r>
    </w:p>
    <w:p>
      <w:r>
        <w:t>Daylight reflectance: ≥ 70 at 45°/0° (ASTM E97)</w:t>
      </w:r>
    </w:p>
    <w:p>
      <w:r>
        <w:t>Reflective performance life: 60 months — the period the raw material supplier commits to in its own documentation, shared at quotation stage; this is the floor specifications ask for</w:t>
      </w:r>
    </w:p>
    <w:p>
      <w:r>
        <w:t>Body durability life: 20 years under normal weather — covers the body material, not the reflective face</w:t>
      </w:r>
    </w:p>
    <w:p>
      <w:r>
        <w:t>Marking: Authority emblem on the front face; manufacturer name and production date on the back, characters at least 10 mm high</w:t>
      </w:r>
    </w:p>
    <w:p>
      <w:r>
        <w:t>GRP ground post: The technical table on this page belongs to this product; it is driven into the ground, heights and burial are in the table above</w:t>
      </w:r>
    </w:p>
    <w:p>
      <w:r>
        <w:t>TPU/TPE flexible post: An elastomer body made to be driven over; model, dimensions and material document are supplied per order — values in the GRP table do not transfer to this variant</w:t>
      </w:r>
    </w:p>
    <w:p>
      <w:r>
        <w:t>Guardrail-top post: Ordered as a separate short body with its bracket/adaptor; not obtained by cutting down the ground post</w:t>
      </w:r>
    </w:p>
    <w:p>
      <w:r>
        <w:t>Utility marker post: Marks a pipeline or cable route; plate wording and colour follow the line owner’s requirement — quoted within this group</w:t>
      </w:r>
    </w:p>
    <w:p>
      <w:pPr>
        <w:pStyle w:val="Heading1"/>
      </w:pPr>
      <w:r>
        <w:t>4. Documentation</w:t>
      </w:r>
    </w:p>
    <w:p>
      <w:r>
        <w:t>Standard names on this page are references; test results and certificates are shared together with the report and the document — ask, and we will send them.</w:t>
      </w:r>
    </w:p>
    <w:p>
      <w:r>
        <w:t>Test results and certificates are shared only with the report and the document; no class name is cited without its document.</w:t>
      </w:r>
    </w:p>
    <w:p>
      <w:pPr>
        <w:pStyle w:val="Heading1"/>
      </w:pPr>
      <w:r>
        <w:t>5. Packing and delivery</w:t>
      </w:r>
    </w:p>
    <w:p>
      <w:r>
        <w:t>Pallet 109 × 135 × 115 cm · 2,500 pcs · 1,825 kg.</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