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sz w:val="18"/>
        </w:rPr>
        <w:t>TRAFFIC INDUSTRIES</w:t>
      </w:r>
    </w:p>
    <w:p>
      <w:pPr>
        <w:pStyle w:val="Title"/>
      </w:pPr>
      <w:r>
        <w:t>Yol kenar dikmesi</w:t>
      </w:r>
    </w:p>
    <w:p>
      <w:r>
        <w:rPr>
          <w:b/>
          <w:color w:val="666666"/>
          <w:sz w:val="18"/>
        </w:rPr>
        <w:t>ŞARTNAME METNİ (taslak)</w:t>
      </w:r>
    </w:p>
    <w:p>
      <w:pPr>
        <w:pStyle w:val="Heading1"/>
      </w:pPr>
      <w:r>
        <w:t>1. Konu ve kapsam</w:t>
      </w:r>
    </w:p>
    <w:p>
      <w:r>
        <w:t>Bu şartname, yol kenar dikmesi teminini kapsar. Ürünün işlevi ve kullanım yeri aşağıdaki tanıma uyar:</w:t>
      </w:r>
    </w:p>
    <w:p>
      <w:r>
        <w:t>Yol kenar dikmesi, yolun kenar hattını ve şev sınırını gece ve kötü havada sürücüye görünür kılmak için tasarlanır. Cam elyaf takviyeli polyester gövde çarpma enerjisini esneyerek harcar; yol kenar dikmesi tipik sıyırma temaslarında aracı hasarlamadan esner ve ilk konumuna döner. Esnek, solmaz ve uzun ömürlüdür. İki yüzü de reflektörlü olduğu için hat her iki yönden okunur; cıvatalı montajla mevcut çelik bariyerin üstünü işaretler. Yol kenar dikmesi şehirlerarası yollarda, köy ve kasaba yollarında, şantiye geçişlerinde ve boru hattı güzergâhlarında kullanılır.</w:t>
      </w:r>
    </w:p>
    <w:p>
      <w:pPr>
        <w:pStyle w:val="Heading1"/>
      </w:pPr>
      <w:r>
        <w:t>2. Teknik özellikler</w:t>
      </w:r>
    </w:p>
    <w:p>
      <w:r>
        <w:t>Profil çekme (pultrüzyon) yöntemiyle üretilir; cam elyaf hem boyuna hem enine yerleşir, bu yüzden çarpmada katlanır, kırılmaz.</w:t>
      </w:r>
    </w:p>
    <w:p>
      <w:r>
        <w:t>Renk hamurun içindedir. Yüzey çizilse de renk bozulmaz, güneşte solmaz; sararma endeksi 12’yi geçmez.</w:t>
      </w:r>
    </w:p>
    <w:p>
      <w:r>
        <w:t>Gömme derinliği gövdede yatay siyah çizgiyle işaretli gelir — bütün dikmeler aynı yükseklikte durur, montaj kişiye göre değişmez.</w:t>
      </w:r>
    </w:p>
    <w:p>
      <w:r>
        <w:t>Reflektif malzeme iki yüzde: iç bükey ön yüzde kırmızı, dış bükey yüzde beyaz — sürücü sağ sırada kırmızıyı, sol sırada beyazı görür.</w:t>
      </w:r>
    </w:p>
    <w:p>
      <w:r>
        <w:t>Yalnız ilk kullanım hammadde. Yorulmuş ya da geri dönüştürülmüş malzeme kullanılmaz.</w:t>
      </w:r>
    </w:p>
    <w:p>
      <w:r>
        <w:t>Mevcut demir bariyere perçin ya da cıvatayla monte edilebilir; cıvatalıysa sökülüp başka güzergâhta yeniden kullanılır.</w:t>
      </w:r>
    </w:p>
    <w:p>
      <w:pPr>
        <w:pStyle w:val="Heading1"/>
      </w:pPr>
      <w:r>
        <w:t>3. Ölçü ve sınıflar</w:t>
      </w:r>
    </w:p>
    <w:p>
      <w:r>
        <w:t>Boy — toplam / yer üstü: 1150/700 · 1300/800 · 1500/950 mm — standart boy 1300 mm; kar ve sis bölgeleri için talebe göre 3000 mm’ye kadar özel boy üretilir</w:t>
      </w:r>
    </w:p>
    <w:p>
      <w:r>
        <w:t>Gömme derinliği: Boya göre 450 / 500 / 550 mm (toplam − yer üstü); gövdedeki yatay siyah çizgi ilgili varyantın zemin kotunu işaretler</w:t>
      </w:r>
    </w:p>
    <w:p>
      <w:r>
        <w:t>Genişlik × et kalınlığı: 100 × 3 mm</w:t>
      </w:r>
    </w:p>
    <w:p>
      <w:r>
        <w:t>Eğrilik (kesit kavisi): 10 mm</w:t>
      </w:r>
    </w:p>
    <w:p>
      <w:r>
        <w:t>Reflektör ölçüsü: 150 × 70 mm — reflektör iki yüzde: iç bükey ön yüzde kırmızı, dış bükey yüzde beyaz</w:t>
      </w:r>
    </w:p>
    <w:p>
      <w:r>
        <w:t>Toleranslar: Genişlik ve boy ±%2 · eğrilik en çok +3 mm · kalınlık ±%5</w:t>
      </w:r>
    </w:p>
    <w:p>
      <w:r>
        <w:t>Malzeme: Cam elyaf takviyeli polyester — yalnız ilk kullanım hammadde</w:t>
      </w:r>
    </w:p>
    <w:p>
      <w:r>
        <w:t>Üretim yöntemi: Profil çekme (pultrüzyon); her iki yüz düzgün, opak beyaz</w:t>
      </w:r>
    </w:p>
    <w:p>
      <w:r>
        <w:t>Eğilmede çekme dayanımı: min. 500 MPa</w:t>
      </w:r>
    </w:p>
    <w:p>
      <w:r>
        <w:t>Yük altında eğilme sıcaklığı: min. 95 °C</w:t>
      </w:r>
    </w:p>
    <w:p>
      <w:r>
        <w:t>Su emme: ağırlıkça ≤ %0,40</w:t>
      </w:r>
    </w:p>
    <w:p>
      <w:r>
        <w:t>Aleve dayanım: Alev almayan ya da kendiliğinden sönen tip</w:t>
      </w:r>
    </w:p>
    <w:p>
      <w:r>
        <w:t>Çalışma sıcaklığı: −30 … +80 °C</w:t>
      </w:r>
    </w:p>
    <w:p>
      <w:r>
        <w:t>Gövde renkleri: Beyaz, sarı</w:t>
      </w:r>
    </w:p>
    <w:p>
      <w:r>
        <w:t>Sararma endeksi: ≤ 12 (ASTM E313)</w:t>
      </w:r>
    </w:p>
    <w:p>
      <w:r>
        <w:t>Gün ışığı yansıması: ≥ 70 · 45°/0° (ASTM E97)</w:t>
      </w:r>
    </w:p>
    <w:p>
      <w:r>
        <w:t>Reflektör performans ömrü: 60 ay — hammadde tedarikçisinin kendi belgesinde taahhüt ettiği süre; belge teklifle paylaşılır. Şartnamelerin aradığı alt sınır budur</w:t>
      </w:r>
    </w:p>
    <w:p>
      <w:r>
        <w:t>Gövde dayanım ömrü: normal hava koşullarında 20 yıl — gövde malzemesini kapsar, reflektif yüzeyi kapsamaz</w:t>
      </w:r>
    </w:p>
    <w:p>
      <w:r>
        <w:t>İşaretleme: Ön yüzde kurum amblemi; arka yüzde üretici adı ve üretim tarihi, en az 1 cm karakterle</w:t>
      </w:r>
    </w:p>
    <w:p>
      <w:r>
        <w:t>CTP zemin dikmesi: Bu sayfanın teknik tablosu bu ürüne aittir; zemine çakılır, boy ve gömme yukarıdaki tablodadır</w:t>
      </w:r>
    </w:p>
    <w:p>
      <w:r>
        <w:t>TPU/TPE esnek dikme: Üstünden geçilmeye dayanıklı elastomer gövde; model, ölçü ve malzeme belgesi siparişe göre ayrıca verilir — CTP tablosundaki değerler bu varyanta taşınmaz</w:t>
      </w:r>
    </w:p>
    <w:p>
      <w:r>
        <w:t>Korkuluk üstü dikme: Ayrı kısa gövde ve braket/adaptörüyle sipariş edilir; zemin dikmesinden kesilerek elde edilmez</w:t>
      </w:r>
    </w:p>
    <w:p>
      <w:r>
        <w:t>Hat işaret dikmesi: Boru ve kablo güzergâhını işaretler; levha metni ve renk hattın sahibinin şartına göre belirlenir — bu grup içinde teklif edilir</w:t>
      </w:r>
    </w:p>
    <w:p>
      <w:pPr>
        <w:pStyle w:val="Heading1"/>
      </w:pPr>
      <w:r>
        <w:t>4. Belgelendirme</w:t>
      </w:r>
    </w:p>
    <w:p>
      <w:r>
        <w:t>Standart adları bu sayfada atıftır; test sonucu ve sertifika, ancak rapor ve belgeyle birlikte paylaşılır — isteyin, gönderelim.</w:t>
      </w:r>
    </w:p>
    <w:p>
      <w:r>
        <w:t>Test sonucu ve sertifika ancak rapor ve belgeyle paylaşılır; belgesiz sınıf adı anılmaz.</w:t>
      </w:r>
    </w:p>
    <w:p>
      <w:pPr>
        <w:pStyle w:val="Heading1"/>
      </w:pPr>
      <w:r>
        <w:t>5. Ambalaj ve teslimat</w:t>
      </w:r>
    </w:p>
    <w:p>
      <w:r>
        <w:t>Palet 109 × 135 × 115 cm · 2.500 adet · 1.825 kg.</w:t>
      </w:r>
    </w:p>
    <w:p>
      <w:pPr>
        <w:pStyle w:val="Heading1"/>
      </w:pPr>
      <w:r>
        <w:t>6. Teklif ve iletişim</w:t>
      </w:r>
    </w:p>
    <w:p>
      <w:r>
        <w:t>Teklif talebi trafficindustries.com üzerinden verilir; miktar, varyant ve teslim şekline göre teklif aynı gün hazırlanır.</w:t>
      </w:r>
    </w:p>
    <w:sectPr w:rsidR="00FC693F" w:rsidRPr="0006063C" w:rsidSect="00034616"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