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18"/>
        </w:rPr>
        <w:t>TRAFFIC INDUSTRIES</w:t>
      </w:r>
    </w:p>
    <w:p>
      <w:pPr>
        <w:pStyle w:val="Title"/>
      </w:pPr>
      <w:r>
        <w:t>Road studs &amp; markers</w:t>
      </w:r>
    </w:p>
    <w:p>
      <w:r>
        <w:rPr>
          <w:b/>
          <w:color w:val="666666"/>
          <w:sz w:val="18"/>
        </w:rPr>
        <w:t>SPECIFICATION TEXT (draft)</w:t>
      </w:r>
    </w:p>
    <w:p>
      <w:pPr>
        <w:pStyle w:val="Heading1"/>
      </w:pPr>
      <w:r>
        <w:t>1. Subject and scope</w:t>
      </w:r>
    </w:p>
    <w:p>
      <w:r>
        <w:t>This specification covers the supply of road studs &amp; markers. The function and place of use follow the definition below:</w:t>
      </w:r>
    </w:p>
    <w:p>
      <w:r>
        <w:t>The road stud is set into the road to give the driver back the lane line that vanishes at night and in rain. A glass-bead or microprismatic reflector returns headlight to its source; the road stud also warns by vibration when a wheel touches it. It is low, durable and visible. The solar version makes its own LED light, drawing the line even on unlit sections. The road stud is used at bends and junctions, along median and island edges, at tunnel exits and on crossing approaches.</w:t>
      </w:r>
    </w:p>
    <w:p>
      <w:pPr>
        <w:pStyle w:val="Heading1"/>
      </w:pPr>
      <w:r>
        <w:t>2. Features</w:t>
      </w:r>
    </w:p>
    <w:p>
      <w:r>
        <w:t>The aluminium-bodied type suits heavy traffic; the plastic type suits light traffic.</w:t>
      </w:r>
    </w:p>
    <w:p>
      <w:r>
        <w:t>Prismatic reflector faces, available in one-way and two-way versions.</w:t>
      </w:r>
    </w:p>
    <w:p>
      <w:r>
        <w:t>The solar type makes its own light, which earns its place on unlit bends and junctions.</w:t>
      </w:r>
    </w:p>
    <w:p>
      <w:r>
        <w:t>The body is either recessed or bonded; with the right recess detail the recessed type is protected from a snow-plough blade; on bonded types, surface preparation and adhesive cure decide the life.</w:t>
      </w:r>
    </w:p>
    <w:p>
      <w:pPr>
        <w:pStyle w:val="Heading1"/>
      </w:pPr>
      <w:r>
        <w:t>3. Dimensions and classes</w:t>
      </w:r>
    </w:p>
    <w:p>
      <w:r>
        <w:t>Body classes: 100×100×20 mm (aluminium) · 220×120×28 mm (oval PPC)</w:t>
      </w:r>
    </w:p>
    <w:p>
      <w:r>
        <w:t>Material: ABS · Aluminium · PPC</w:t>
      </w:r>
    </w:p>
    <w:p>
      <w:r>
        <w:t>Weight: 0.12–0.45 kg</w:t>
      </w:r>
    </w:p>
    <w:p>
      <w:r>
        <w:t>Anchor depth: 50–70 mm (anchored types)</w:t>
      </w:r>
    </w:p>
    <w:p>
      <w:r>
        <w:t>Note: values are production-programme and market-standard ranges; order dimensions are fixed in the quotation.</w:t>
      </w:r>
    </w:p>
    <w:p>
      <w:pPr>
        <w:pStyle w:val="Heading1"/>
      </w:pPr>
      <w:r>
        <w:t>4. Documentation</w:t>
      </w:r>
    </w:p>
    <w:p>
      <w:r>
        <w:t>In Russia/CIS language the road stud is described by class КД3 of GOST R 50971 (the reflector for flow division, crossings and artificial humps). The US market speaks of road studs through ASTM D4280 and the European market through EN 1463; class and conformity are written with the supplier document. Test results and certificates are shared with the report and the document.</w:t>
      </w:r>
    </w:p>
    <w:p>
      <w:r>
        <w:t>Test results and certificates are shared only with the report and the document; no class name is cited without its document.</w:t>
      </w:r>
    </w:p>
    <w:p>
      <w:pPr>
        <w:pStyle w:val="Heading1"/>
      </w:pPr>
      <w:r>
        <w:t>5. Packing and delivery</w:t>
      </w:r>
    </w:p>
    <w:p>
      <w:r>
        <w:t>Packed in counted boxes · Solar types ship with the battery fitted and isolated · Epoxy adhesive is a separate item and follows dangerous goods rules · Low weight, small volume</w:t>
      </w:r>
    </w:p>
    <w:p>
      <w:pPr>
        <w:pStyle w:val="Heading1"/>
      </w:pPr>
      <w:r>
        <w:t>6. Quotation and contact</w:t>
      </w:r>
    </w:p>
    <w:p>
      <w:r>
        <w:t>Quotation requests go through trafficindustries.com; the quotation is prepared the same day against quantity, variant and delivery terms.</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