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Rising bollards</w:t>
      </w:r>
    </w:p>
    <w:p>
      <w:r>
        <w:rPr>
          <w:b/>
          <w:color w:val="666666"/>
          <w:sz w:val="18"/>
        </w:rPr>
        <w:t>SPECIFICATION TEXT (draft)</w:t>
      </w:r>
    </w:p>
    <w:p>
      <w:pPr>
        <w:pStyle w:val="Heading1"/>
      </w:pPr>
      <w:r>
        <w:t>1. Subject and scope</w:t>
      </w:r>
    </w:p>
    <w:p>
      <w:r>
        <w:t>This specification covers the supply of rising bollards. The function and place of use follow the definition below:</w:t>
      </w:r>
    </w:p>
    <w:p>
      <w:r>
        <w:t>A hydraulic bollard that stops a vehicle rather than warning it. It rests flush with the surface, rises on command and physically closes the route. It is used in pedestrian zones, at critical facility entrances and in controlled yards.</w:t>
      </w:r>
    </w:p>
    <w:p>
      <w:pPr>
        <w:pStyle w:val="Heading1"/>
      </w:pPr>
      <w:r>
        <w:t>2. Features</w:t>
      </w:r>
    </w:p>
    <w:p>
      <w:r>
        <w:t>The feature table is given in writing with the quotation.</w:t>
      </w:r>
    </w:p>
    <w:p>
      <w:pPr>
        <w:pStyle w:val="Heading1"/>
      </w:pPr>
      <w:r>
        <w:t>3. Dimensions and classes</w:t>
      </w:r>
    </w:p>
    <w:p>
      <w:r>
        <w:t>The dimension table is built per job; final values are given in writing with the quotation.</w:t>
      </w:r>
    </w:p>
    <w:p>
      <w:pPr>
        <w:pStyle w:val="Heading1"/>
      </w:pPr>
      <w:r>
        <w:t>4. Documentation</w:t>
      </w:r>
    </w:p>
    <w:p>
      <w:r>
        <w:t>The governing document and standard are stated in writing at quotation.</w:t>
      </w:r>
    </w:p>
    <w:p>
      <w:r>
        <w:t>Test results and certificates are shared only with the report and the document; no class name is cited without its document.</w:t>
      </w:r>
    </w:p>
    <w:p>
      <w:pPr>
        <w:pStyle w:val="Heading1"/>
      </w:pPr>
      <w:r>
        <w:t>5. Packing and delivery</w:t>
      </w:r>
    </w:p>
    <w:p>
      <w:r>
        <w:t>Housing, hydraulic unit and control panel are packed separately · Shipment is planned per project rather than from stock · Commissioning requires a field crew · Excavation, drainage and electrical work are on the buyer’s side</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