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18"/>
        </w:rPr>
        <w:t>TRAFFIC INDUSTRIES</w:t>
      </w:r>
    </w:p>
    <w:p>
      <w:pPr>
        <w:pStyle w:val="Title"/>
      </w:pPr>
      <w:r>
        <w:t>Lane channelizers &amp; separators</w:t>
      </w:r>
    </w:p>
    <w:p>
      <w:r>
        <w:rPr>
          <w:b/>
          <w:color w:val="666666"/>
          <w:sz w:val="18"/>
        </w:rPr>
        <w:t>SPECIFICATION TEXT (draft)</w:t>
      </w:r>
    </w:p>
    <w:p>
      <w:pPr>
        <w:pStyle w:val="Heading1"/>
      </w:pPr>
      <w:r>
        <w:t>1. Subject and scope</w:t>
      </w:r>
    </w:p>
    <w:p>
      <w:r>
        <w:t>This specification covers the supply of lane channelizers &amp; separators. The function and place of use follow the definition below:</w:t>
      </w:r>
    </w:p>
    <w:p>
      <w:r>
        <w:t>The lane channelizer is a low-profile separator unit fixed to the road to divide two streams physically. A driver can ignore a painted line but feels the lane channelizer through the wheel — where the model profile and the layout allow it, its sloping sides let emergency vehicles cross, and a delineator, cat eye or flap mounts on top. It is low, modular and relocatable. Because its top socket accepts a vertical marker, the lane channelizer becomes one line that warns by contact and by eye. The lane channelizer is used on bus lanes, in cycle-lane separation, at turning pockets, on junction islands and in opposing-flow division.</w:t>
      </w:r>
    </w:p>
    <w:p>
      <w:pPr>
        <w:pStyle w:val="Heading1"/>
      </w:pPr>
      <w:r>
        <w:t>2. Features</w:t>
      </w:r>
    </w:p>
    <w:p>
      <w:r>
        <w:t>The feature table is given in writing with the quotation.</w:t>
      </w:r>
    </w:p>
    <w:p>
      <w:pPr>
        <w:pStyle w:val="Heading1"/>
      </w:pPr>
      <w:r>
        <w:t>3. Dimensions and classes</w:t>
      </w:r>
    </w:p>
    <w:p>
      <w:r>
        <w:t>Module length: 1000 mm class — units join end to end</w:t>
      </w:r>
    </w:p>
    <w:p>
      <w:r>
        <w:t>Width: 130–150 mm band</w:t>
      </w:r>
    </w:p>
    <w:p>
      <w:r>
        <w:t>Base height: 50 mm class — sloping sides</w:t>
      </w:r>
    </w:p>
    <w:p>
      <w:r>
        <w:t>Base size (island types): Ø 400 · Ø 450 mm · 300×300 mm</w:t>
      </w:r>
    </w:p>
    <w:p>
      <w:r>
        <w:t>Weight: 0.45–12 kg (by type and top fitting)</w:t>
      </w:r>
    </w:p>
    <w:p>
      <w:r>
        <w:t>Top fitting: Cat eye · flap · post · sign</w:t>
      </w:r>
    </w:p>
    <w:p>
      <w:r>
        <w:t>Total height with top fitting: Follows the chosen post; stated in writing with the quotation</w:t>
      </w:r>
    </w:p>
    <w:p>
      <w:r>
        <w:t>Fixings and parts list: Hole pattern, anchor count and type, included parts (dowels, caps, top-fitting socket) and the removable-mounting option are stated per model on the datasheet; the quotation carries this list</w:t>
      </w:r>
    </w:p>
    <w:p>
      <w:r>
        <w:t>Note: values are production-programme and market-standard ranges; order dimensions are fixed in the quotation.</w:t>
      </w:r>
    </w:p>
    <w:p>
      <w:pPr>
        <w:pStyle w:val="Heading1"/>
      </w:pPr>
      <w:r>
        <w:t>4. Documentation</w:t>
      </w:r>
    </w:p>
    <w:p>
      <w:r>
        <w:t>Standard names on this page are references; test results and certificates are shared together with the report and the document — ask, and we will send them.</w:t>
      </w:r>
    </w:p>
    <w:p>
      <w:r>
        <w:t>Test results and certificates are shared only with the report and the document; no class name is cited without its document.</w:t>
      </w:r>
    </w:p>
    <w:p>
      <w:pPr>
        <w:pStyle w:val="Heading1"/>
      </w:pPr>
      <w:r>
        <w:t>5. Packing and delivery</w:t>
      </w:r>
    </w:p>
    <w:p>
      <w:r>
        <w:t>Bodies are palletised stacked · Anchors and fixings travel in separate cartons · Reflective collars ship fitted · Container efficiency is high and volume is the limit</w:t>
      </w:r>
    </w:p>
    <w:p>
      <w:pPr>
        <w:pStyle w:val="Heading1"/>
      </w:pPr>
      <w:r>
        <w:t>6. Quotation and contact</w:t>
      </w:r>
    </w:p>
    <w:p>
      <w:r>
        <w:t>Quotation requests go through trafficindustries.com; the quotation is prepared the same day against quantity, variant and delivery terms.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